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ind w:firstLine="570.4724409448819"/>
        <w:jc w:val="center"/>
        <w:rPr>
          <w:rFonts w:ascii="Comic Sans MS" w:cs="Comic Sans MS" w:eastAsia="Comic Sans MS" w:hAnsi="Comic Sans MS"/>
          <w:b w:val="1"/>
          <w:color w:val="ff0000"/>
          <w:sz w:val="46"/>
          <w:szCs w:val="46"/>
        </w:rPr>
      </w:pPr>
      <w:bookmarkStart w:colFirst="0" w:colLast="0" w:name="_luvios36sodj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46"/>
          <w:szCs w:val="46"/>
          <w:rtl w:val="0"/>
        </w:rPr>
        <w:t xml:space="preserve">Безопасность детей на воде в летний период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3112439" cy="24412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2439" cy="2441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Лето – пора веселья и беззаботности, в особенности для наших детей.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 разрешайте купаться ребенку без вашего присмотра, особенно на матрацах или надувных кругах.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Отпускайте отпрыска в воду только в плавательном жилете или нарукавниках.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Контролируйте время пребывания ребенка в воде, чтобы не допустить переохлаждения.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 избежание солнечных ожогов смазывайте кожу ребенка специальными солнцезащитными средствами.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933600" cy="5245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36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419.527559055118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